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bookmarkStart w:id="0" w:name="_GoBack"/>
      <w:bookmarkEnd w:id="0"/>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735D6C" w:rsidRPr="002B7E4F" w:rsidRDefault="00F13E84" w:rsidP="00113B94">
      <w:pPr>
        <w:tabs>
          <w:tab w:val="left" w:pos="360"/>
          <w:tab w:val="left" w:pos="1418"/>
        </w:tabs>
        <w:ind w:left="1418" w:right="334" w:hanging="1418"/>
        <w:jc w:val="both"/>
        <w:rPr>
          <w:rFonts w:ascii="Arial" w:hAnsi="Arial" w:cs="Arial"/>
          <w:b/>
          <w:sz w:val="22"/>
          <w:szCs w:val="22"/>
          <w:lang w:val="es-MX"/>
        </w:rPr>
      </w:pPr>
      <w:r>
        <w:rPr>
          <w:rFonts w:ascii="Arial" w:hAnsi="Arial" w:cs="Arial"/>
          <w:b/>
          <w:sz w:val="22"/>
          <w:szCs w:val="22"/>
        </w:rPr>
        <w:t>EP. 24</w:t>
      </w:r>
      <w:r w:rsidR="00113B94">
        <w:rPr>
          <w:rFonts w:ascii="Arial" w:hAnsi="Arial" w:cs="Arial"/>
          <w:b/>
          <w:sz w:val="22"/>
          <w:szCs w:val="22"/>
        </w:rPr>
        <w:t>1</w:t>
      </w:r>
      <w:r w:rsidRPr="000A727D">
        <w:rPr>
          <w:rFonts w:ascii="Arial" w:hAnsi="Arial" w:cs="Arial"/>
          <w:b/>
          <w:sz w:val="22"/>
          <w:szCs w:val="22"/>
        </w:rPr>
        <w:t>.-</w:t>
      </w:r>
      <w:r w:rsidRPr="000A727D">
        <w:rPr>
          <w:rFonts w:ascii="Arial" w:hAnsi="Arial" w:cs="Arial"/>
          <w:b/>
          <w:sz w:val="22"/>
          <w:szCs w:val="22"/>
        </w:rPr>
        <w:tab/>
      </w:r>
      <w:r w:rsidR="00735D6C" w:rsidRPr="002B7E4F">
        <w:rPr>
          <w:rFonts w:ascii="Arial" w:hAnsi="Arial" w:cs="Arial"/>
          <w:b/>
          <w:sz w:val="22"/>
          <w:szCs w:val="22"/>
          <w:lang w:val="es-MX"/>
        </w:rPr>
        <w:t xml:space="preserve">ALUMBRADO EN </w:t>
      </w:r>
      <w:r w:rsidR="00113B94">
        <w:rPr>
          <w:rFonts w:ascii="Arial" w:hAnsi="Arial" w:cs="Arial"/>
          <w:b/>
          <w:sz w:val="22"/>
          <w:szCs w:val="22"/>
          <w:lang w:val="es-MX"/>
        </w:rPr>
        <w:t>INTERESTACIÓN EN TÚNEL, P.U.O.T.</w:t>
      </w:r>
    </w:p>
    <w:p w:rsidR="00735D6C" w:rsidRPr="002B7E4F" w:rsidRDefault="00735D6C" w:rsidP="00735D6C">
      <w:pPr>
        <w:jc w:val="both"/>
        <w:rPr>
          <w:rFonts w:ascii="Arial" w:hAnsi="Arial" w:cs="Arial"/>
          <w:b/>
          <w:sz w:val="22"/>
          <w:szCs w:val="22"/>
          <w:lang w:val="es-MX"/>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 xml:space="preserve">Suministro, instalación, comprobación y puesta en marcha de sistema de alumbrado en los tramos </w:t>
      </w:r>
      <w:proofErr w:type="spellStart"/>
      <w:r w:rsidRPr="002B7E4F">
        <w:rPr>
          <w:rFonts w:ascii="Arial" w:hAnsi="Arial" w:cs="Arial"/>
          <w:sz w:val="22"/>
          <w:szCs w:val="22"/>
        </w:rPr>
        <w:t>interestación</w:t>
      </w:r>
      <w:proofErr w:type="spellEnd"/>
      <w:r w:rsidRPr="002B7E4F">
        <w:rPr>
          <w:rFonts w:ascii="Arial" w:hAnsi="Arial" w:cs="Arial"/>
          <w:sz w:val="22"/>
          <w:szCs w:val="22"/>
        </w:rPr>
        <w:t xml:space="preserve"> de </w:t>
      </w:r>
      <w:r w:rsidR="00113B94">
        <w:rPr>
          <w:rFonts w:ascii="Arial" w:hAnsi="Arial" w:cs="Arial"/>
          <w:sz w:val="22"/>
          <w:szCs w:val="22"/>
        </w:rPr>
        <w:t>túnel</w:t>
      </w:r>
      <w:r w:rsidRPr="002B7E4F">
        <w:rPr>
          <w:rFonts w:ascii="Arial" w:hAnsi="Arial" w:cs="Arial"/>
          <w:sz w:val="22"/>
          <w:szCs w:val="22"/>
        </w:rPr>
        <w:t>. Formado por luminarias, cables de conexión, tubería, soportes, accesorios, parte proporcional del sistema de control de alumbrado y material para su correcta instalación y funcionamiento. Según pliego de especificaciones.</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pStyle w:val="TITULO-3"/>
        <w:numPr>
          <w:ilvl w:val="2"/>
          <w:numId w:val="20"/>
        </w:numPr>
        <w:rPr>
          <w:rFonts w:ascii="Arial" w:hAnsi="Arial" w:cs="Arial"/>
          <w:b/>
          <w:sz w:val="22"/>
          <w:szCs w:val="22"/>
        </w:rPr>
      </w:pPr>
      <w:bookmarkStart w:id="1" w:name="_Toc368069980"/>
      <w:r w:rsidRPr="002B7E4F">
        <w:rPr>
          <w:rFonts w:ascii="Arial" w:hAnsi="Arial" w:cs="Arial"/>
          <w:b/>
          <w:sz w:val="22"/>
          <w:szCs w:val="22"/>
        </w:rPr>
        <w:t>Características Técnicas</w:t>
      </w:r>
      <w:bookmarkEnd w:id="1"/>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Las luminarias se alimentarán a 127 V, 60 Hz, una fase, dos hilos.</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todas las luminarias y lámparas fluorescentes, tipo T5, así como sus apagadores y demás elementos para el control del alumbrado, a instalar en los tramos </w:t>
      </w:r>
      <w:proofErr w:type="spellStart"/>
      <w:r w:rsidRPr="002B7E4F">
        <w:rPr>
          <w:rFonts w:ascii="Arial" w:hAnsi="Arial" w:cs="Arial"/>
          <w:sz w:val="22"/>
          <w:szCs w:val="22"/>
        </w:rPr>
        <w:t>interestación</w:t>
      </w:r>
      <w:proofErr w:type="spellEnd"/>
      <w:r w:rsidRPr="002B7E4F">
        <w:rPr>
          <w:rFonts w:ascii="Arial" w:hAnsi="Arial" w:cs="Arial"/>
          <w:sz w:val="22"/>
          <w:szCs w:val="22"/>
        </w:rPr>
        <w:t xml:space="preserve"> de </w:t>
      </w:r>
      <w:r w:rsidR="00113B94">
        <w:rPr>
          <w:rFonts w:ascii="Arial" w:hAnsi="Arial" w:cs="Arial"/>
          <w:sz w:val="22"/>
          <w:szCs w:val="22"/>
        </w:rPr>
        <w:t>túnel</w:t>
      </w:r>
      <w:r w:rsidRPr="002B7E4F">
        <w:rPr>
          <w:rFonts w:ascii="Arial" w:hAnsi="Arial" w:cs="Arial"/>
          <w:sz w:val="22"/>
          <w:szCs w:val="22"/>
        </w:rPr>
        <w:t xml:space="preserve">. </w:t>
      </w:r>
    </w:p>
    <w:p w:rsidR="00735D6C" w:rsidRPr="002B7E4F" w:rsidRDefault="00735D6C" w:rsidP="00735D6C">
      <w:pPr>
        <w:tabs>
          <w:tab w:val="left" w:pos="426"/>
        </w:tabs>
        <w:jc w:val="both"/>
        <w:rPr>
          <w:rFonts w:ascii="Arial" w:hAnsi="Arial" w:cs="Arial"/>
          <w:sz w:val="22"/>
          <w:szCs w:val="22"/>
          <w:highlight w:val="green"/>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Las principales características de estas luminarias son:</w:t>
      </w:r>
    </w:p>
    <w:p w:rsidR="00735D6C" w:rsidRPr="002B7E4F" w:rsidRDefault="00735D6C" w:rsidP="00735D6C">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735D6C" w:rsidRPr="002B7E4F" w:rsidTr="00CA2C7B">
        <w:trPr>
          <w:tblHeader/>
          <w:jc w:val="center"/>
        </w:trPr>
        <w:tc>
          <w:tcPr>
            <w:tcW w:w="4253" w:type="dxa"/>
            <w:shd w:val="clear" w:color="auto" w:fill="0F243E"/>
          </w:tcPr>
          <w:p w:rsidR="00735D6C" w:rsidRPr="002B7E4F" w:rsidRDefault="00735D6C" w:rsidP="00CA2C7B">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735D6C" w:rsidRPr="002B7E4F" w:rsidRDefault="00735D6C" w:rsidP="00CA2C7B">
            <w:pPr>
              <w:tabs>
                <w:tab w:val="left" w:pos="426"/>
              </w:tabs>
              <w:jc w:val="both"/>
              <w:rPr>
                <w:rFonts w:ascii="Arial" w:hAnsi="Arial" w:cs="Arial"/>
                <w:b/>
                <w:sz w:val="22"/>
                <w:szCs w:val="22"/>
              </w:rPr>
            </w:pPr>
            <w:r w:rsidRPr="002B7E4F">
              <w:rPr>
                <w:rFonts w:ascii="Arial" w:hAnsi="Arial" w:cs="Arial"/>
                <w:b/>
                <w:sz w:val="22"/>
                <w:szCs w:val="22"/>
              </w:rPr>
              <w:t>Valor</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Tipo de luminaria: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Fluorescente estanco</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Carcasa poliéster reforzado con fibra vidrio</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Instalación: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Superficial</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2x35 W</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 xml:space="preserve">Monofásica, 127 V </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Conexión: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Rápida</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Difusor: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Policarbonato</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IP 65 (IEC 60529)</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Aislamiento: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Clase I</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Lámparas: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Tubo fluorescentes T5 (T16)</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1577 x 102 x 84 mm (Largo x Alto x Ancho)</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Peso: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2,3 kg</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 xml:space="preserve">Reactancia:  </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Electrónica alta frecuencia</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Índice reproducción cromática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80 (mín.)</w:t>
            </w:r>
          </w:p>
        </w:tc>
      </w:tr>
      <w:tr w:rsidR="00735D6C" w:rsidRPr="002B7E4F" w:rsidTr="00CA2C7B">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35D6C" w:rsidRPr="002B7E4F" w:rsidRDefault="00735D6C" w:rsidP="00CA2C7B">
            <w:pPr>
              <w:jc w:val="both"/>
              <w:rPr>
                <w:rFonts w:ascii="Arial" w:hAnsi="Arial" w:cs="Arial"/>
                <w:sz w:val="22"/>
                <w:szCs w:val="22"/>
              </w:rPr>
            </w:pPr>
            <w:r w:rsidRPr="002B7E4F">
              <w:rPr>
                <w:rFonts w:ascii="Arial" w:hAnsi="Arial" w:cs="Arial"/>
                <w:sz w:val="22"/>
                <w:szCs w:val="22"/>
              </w:rPr>
              <w:t>4.000 K (mín.)</w:t>
            </w:r>
          </w:p>
        </w:tc>
      </w:tr>
    </w:tbl>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Se dispondrán rótulos en las luminarias para una fácil y rápida identificación de cada circuito.</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Para los casos de una falla generalizada de la alimentación eléctrica, se colocarán unidades de iluminación del mismo tipo que el del alumbrado normal, pero equipadas con una Fuente Autónoma de Energía (FAE) alimentada en servicio normal, que permiten, gracias a baterías, mantener encendidas estas unidades por 90 minutos</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 xml:space="preserve">Los cables de alimentación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12 AWG</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alumbrado, es Pared Gruesa Galvanizada de 21 mm (3/4”) de diámetro.</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60081 Double-capped fluorescent lamps.</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60969 Energy efficiency of electric lamps for household use. </w:t>
      </w:r>
      <w:proofErr w:type="spellStart"/>
      <w:r w:rsidRPr="002B7E4F">
        <w:rPr>
          <w:rFonts w:ascii="Arial" w:hAnsi="Arial" w:cs="Arial"/>
          <w:sz w:val="22"/>
          <w:szCs w:val="22"/>
        </w:rPr>
        <w:t>Measurement</w:t>
      </w:r>
      <w:proofErr w:type="spellEnd"/>
      <w:r w:rsidRPr="002B7E4F">
        <w:rPr>
          <w:rFonts w:ascii="Arial" w:hAnsi="Arial" w:cs="Arial"/>
          <w:sz w:val="22"/>
          <w:szCs w:val="22"/>
        </w:rPr>
        <w:t xml:space="preserve"> </w:t>
      </w:r>
      <w:proofErr w:type="spellStart"/>
      <w:r w:rsidRPr="002B7E4F">
        <w:rPr>
          <w:rFonts w:ascii="Arial" w:hAnsi="Arial" w:cs="Arial"/>
          <w:sz w:val="22"/>
          <w:szCs w:val="22"/>
        </w:rPr>
        <w:t>methods</w:t>
      </w:r>
      <w:proofErr w:type="spellEnd"/>
      <w:r w:rsidRPr="002B7E4F">
        <w:rPr>
          <w:rFonts w:ascii="Arial" w:hAnsi="Arial" w:cs="Arial"/>
          <w:sz w:val="22"/>
          <w:szCs w:val="22"/>
        </w:rPr>
        <w:t>.</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60968 Self-ballasted lamps for general lighting services, safety requirements.</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60921 Ballast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60929 A.C. supplied electronic ballasts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IEC 60598 Luminarias.</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101  </w:t>
      </w:r>
      <w:proofErr w:type="spellStart"/>
      <w:r w:rsidRPr="002B7E4F">
        <w:rPr>
          <w:rFonts w:ascii="Arial" w:hAnsi="Arial" w:cs="Arial"/>
          <w:sz w:val="22"/>
          <w:szCs w:val="22"/>
        </w:rPr>
        <w:t>Life</w:t>
      </w:r>
      <w:proofErr w:type="spellEnd"/>
      <w:r w:rsidRPr="002B7E4F">
        <w:rPr>
          <w:rFonts w:ascii="Arial" w:hAnsi="Arial" w:cs="Arial"/>
          <w:sz w:val="22"/>
          <w:szCs w:val="22"/>
        </w:rPr>
        <w:t xml:space="preserve"> safety </w:t>
      </w:r>
      <w:proofErr w:type="spellStart"/>
      <w:r w:rsidRPr="002B7E4F">
        <w:rPr>
          <w:rFonts w:ascii="Arial" w:hAnsi="Arial" w:cs="Arial"/>
          <w:sz w:val="22"/>
          <w:szCs w:val="22"/>
        </w:rPr>
        <w:t>code</w:t>
      </w:r>
      <w:proofErr w:type="spellEnd"/>
      <w:r w:rsidRPr="002B7E4F">
        <w:rPr>
          <w:rFonts w:ascii="Arial" w:hAnsi="Arial" w:cs="Arial"/>
          <w:sz w:val="22"/>
          <w:szCs w:val="22"/>
        </w:rPr>
        <w:t>.</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IEC 60598-22 </w:t>
      </w:r>
      <w:proofErr w:type="spellStart"/>
      <w:r w:rsidRPr="002B7E4F">
        <w:rPr>
          <w:rFonts w:ascii="Arial" w:hAnsi="Arial" w:cs="Arial"/>
          <w:sz w:val="22"/>
          <w:szCs w:val="22"/>
        </w:rPr>
        <w:t>Emergency</w:t>
      </w:r>
      <w:proofErr w:type="spellEnd"/>
      <w:r w:rsidRPr="002B7E4F">
        <w:rPr>
          <w:rFonts w:ascii="Arial" w:hAnsi="Arial" w:cs="Arial"/>
          <w:sz w:val="22"/>
          <w:szCs w:val="22"/>
        </w:rPr>
        <w:t xml:space="preserve"> </w:t>
      </w:r>
      <w:proofErr w:type="spellStart"/>
      <w:r w:rsidRPr="002B7E4F">
        <w:rPr>
          <w:rFonts w:ascii="Arial" w:hAnsi="Arial" w:cs="Arial"/>
          <w:sz w:val="22"/>
          <w:szCs w:val="22"/>
        </w:rPr>
        <w:t>lighting</w:t>
      </w:r>
      <w:proofErr w:type="spellEnd"/>
      <w:r w:rsidRPr="002B7E4F">
        <w:rPr>
          <w:rFonts w:ascii="Arial" w:hAnsi="Arial" w:cs="Arial"/>
          <w:sz w:val="22"/>
          <w:szCs w:val="22"/>
        </w:rPr>
        <w:t>.</w:t>
      </w:r>
    </w:p>
    <w:p w:rsidR="00735D6C" w:rsidRPr="002B7E4F" w:rsidRDefault="00735D6C" w:rsidP="00735D6C">
      <w:pPr>
        <w:tabs>
          <w:tab w:val="left" w:pos="426"/>
        </w:tabs>
        <w:ind w:left="426"/>
        <w:jc w:val="both"/>
        <w:rPr>
          <w:rFonts w:ascii="Arial" w:hAnsi="Arial" w:cs="Arial"/>
          <w:sz w:val="22"/>
          <w:szCs w:val="22"/>
        </w:rPr>
      </w:pPr>
    </w:p>
    <w:p w:rsidR="00735D6C" w:rsidRPr="002B7E4F" w:rsidRDefault="00735D6C" w:rsidP="00735D6C">
      <w:pPr>
        <w:pStyle w:val="TITULO-3"/>
        <w:numPr>
          <w:ilvl w:val="2"/>
          <w:numId w:val="20"/>
        </w:numPr>
        <w:rPr>
          <w:rFonts w:ascii="Arial" w:hAnsi="Arial" w:cs="Arial"/>
          <w:b/>
          <w:sz w:val="22"/>
          <w:szCs w:val="22"/>
        </w:rPr>
      </w:pPr>
      <w:bookmarkStart w:id="2" w:name="_Toc368069981"/>
      <w:r w:rsidRPr="002B7E4F">
        <w:rPr>
          <w:rFonts w:ascii="Arial" w:hAnsi="Arial" w:cs="Arial"/>
          <w:b/>
          <w:sz w:val="22"/>
          <w:szCs w:val="22"/>
        </w:rPr>
        <w:t>Ejecución de Obra</w:t>
      </w:r>
      <w:bookmarkEnd w:id="2"/>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de iluminación, así como los responsables de llevar a cabo y verificar dichas pruebas.</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presentar los planos constructivos, debidamente acotados  incluyendo la identificación del circuito al que pertenecen las luminarias, así como los esquemas unifilares y rutados de canalizaciones y cables.</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 xml:space="preserve">El Contratista tendrá a su cargo todos los materiales y accesorios de instalación que las luminarias requieran. </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jc w:val="both"/>
        <w:rPr>
          <w:rFonts w:ascii="Arial" w:hAnsi="Arial" w:cs="Arial"/>
          <w:sz w:val="22"/>
          <w:szCs w:val="22"/>
        </w:rPr>
      </w:pPr>
      <w:r w:rsidRPr="002B7E4F">
        <w:rPr>
          <w:rFonts w:ascii="Arial" w:hAnsi="Arial" w:cs="Arial"/>
          <w:sz w:val="22"/>
          <w:szCs w:val="22"/>
        </w:rPr>
        <w:t>El sistema de iluminación deberá ser operado y controlado desde el sitio establecido por los operarios del sistema, donde se vigilara que el sistema esté funcionando adecuadamente, bajo los parámetros eléctricos establecidos y apegados al manual de explotación establecido y programas de mantenimiento.</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lastRenderedPageBreak/>
        <w:t>Se supervisara de manera constante la correcta instalación de las luminarias.</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 xml:space="preserve">Para la instalación de las luminarias se tendrá en cuenta las condiciones del </w:t>
      </w:r>
      <w:r w:rsidR="00113B94">
        <w:rPr>
          <w:rFonts w:ascii="Arial" w:hAnsi="Arial" w:cs="Arial"/>
          <w:sz w:val="22"/>
          <w:szCs w:val="22"/>
        </w:rPr>
        <w:t>túnel</w:t>
      </w:r>
      <w:r w:rsidRPr="002B7E4F">
        <w:rPr>
          <w:rFonts w:ascii="Arial" w:hAnsi="Arial" w:cs="Arial"/>
          <w:sz w:val="22"/>
          <w:szCs w:val="22"/>
        </w:rPr>
        <w:t xml:space="preserve">, y coordinados con el resto de equipos (canalizaciones, señales, </w:t>
      </w:r>
      <w:proofErr w:type="spellStart"/>
      <w:r w:rsidRPr="002B7E4F">
        <w:rPr>
          <w:rFonts w:ascii="Arial" w:hAnsi="Arial" w:cs="Arial"/>
          <w:sz w:val="22"/>
          <w:szCs w:val="22"/>
        </w:rPr>
        <w:t>etc</w:t>
      </w:r>
      <w:proofErr w:type="spellEnd"/>
      <w:r w:rsidRPr="002B7E4F">
        <w:rPr>
          <w:rFonts w:ascii="Arial" w:hAnsi="Arial" w:cs="Arial"/>
          <w:sz w:val="22"/>
          <w:szCs w:val="22"/>
        </w:rPr>
        <w:t xml:space="preserve">). </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mantenimiento y operación por personal calificado. </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Las luminarias deberán estar alineadas y niveladas de forma que se mantenga una armonía visual con una instalación uniforme</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Las luminarias se instalarán superficialmente, según planos, con una distancia de 10 m.</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Para la instalación de las luminarias se utilizarán los accesorios de montaje y fijación indicados por el fabricante.</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La unión de la caja de conexiones a las luminarias se debe hacer con cable de cobre con aislamiento tipo THHW-LS alojado en tubo flexible zapa con conectores apropiados.</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La instalación de las luminarias en la obra debe hacerse en completa coordinación con la dirección de la obra, tomando en cuenta:</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 xml:space="preserve">Las condiciones de seguridad en el </w:t>
      </w:r>
      <w:r w:rsidR="00113B94">
        <w:rPr>
          <w:rFonts w:ascii="Arial" w:hAnsi="Arial" w:cs="Arial"/>
          <w:sz w:val="22"/>
          <w:szCs w:val="22"/>
        </w:rPr>
        <w:t>túnel.</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Condiciones ambientales, como filtraciones de agua, limpieza, acabados arquitectónicos, trabajos de otros contratistas en el </w:t>
      </w:r>
      <w:r w:rsidR="00113B94">
        <w:rPr>
          <w:rFonts w:ascii="Arial" w:hAnsi="Arial" w:cs="Arial"/>
          <w:sz w:val="22"/>
          <w:szCs w:val="22"/>
        </w:rPr>
        <w:t>túnel</w:t>
      </w:r>
      <w:r w:rsidRPr="002B7E4F">
        <w:rPr>
          <w:rFonts w:ascii="Arial" w:hAnsi="Arial" w:cs="Arial"/>
          <w:sz w:val="22"/>
          <w:szCs w:val="22"/>
        </w:rPr>
        <w:t>.</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El orden adecuado para la introducción de los distintos equipos en el </w:t>
      </w:r>
      <w:r w:rsidR="00113B94">
        <w:rPr>
          <w:rFonts w:ascii="Arial" w:hAnsi="Arial" w:cs="Arial"/>
          <w:sz w:val="22"/>
          <w:szCs w:val="22"/>
        </w:rPr>
        <w:t>túnel</w:t>
      </w:r>
      <w:r w:rsidRPr="002B7E4F">
        <w:rPr>
          <w:rFonts w:ascii="Arial" w:hAnsi="Arial" w:cs="Arial"/>
          <w:sz w:val="22"/>
          <w:szCs w:val="22"/>
        </w:rPr>
        <w:t xml:space="preserve"> en coordinación con otras especialidades.</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El arreglo de equipos instalados en el  </w:t>
      </w:r>
      <w:r w:rsidR="00113B94">
        <w:rPr>
          <w:rFonts w:ascii="Arial" w:hAnsi="Arial" w:cs="Arial"/>
          <w:sz w:val="22"/>
          <w:szCs w:val="22"/>
        </w:rPr>
        <w:t>túnel.</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Las fases de la instalación de las luminarias serán:</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luminarias y equipos de alumbrado</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las luminarias y sus elementos auxiliares.</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jc w:val="both"/>
        <w:rPr>
          <w:rFonts w:ascii="Arial" w:hAnsi="Arial" w:cs="Arial"/>
          <w:sz w:val="22"/>
          <w:szCs w:val="22"/>
        </w:rPr>
      </w:pPr>
      <w:r w:rsidRPr="002B7E4F">
        <w:rPr>
          <w:rFonts w:ascii="Arial" w:hAnsi="Arial" w:cs="Arial"/>
          <w:sz w:val="22"/>
          <w:szCs w:val="22"/>
        </w:rPr>
        <w:t xml:space="preserve">Las luminarias fluorescentes deberán de cumplir estrictamente con el plan de mantenimiento establecido, ya que el cumplir al pie de la letra dicho plan, podría prolongar la vida útil de estas, así mismo se asegura mantener los niveles de iluminación establecidos durante el 80% de la vida útil de la luminaria. </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pStyle w:val="TITULO-3"/>
        <w:numPr>
          <w:ilvl w:val="2"/>
          <w:numId w:val="20"/>
        </w:numPr>
        <w:rPr>
          <w:rFonts w:ascii="Arial" w:hAnsi="Arial" w:cs="Arial"/>
          <w:b/>
          <w:sz w:val="22"/>
          <w:szCs w:val="22"/>
        </w:rPr>
      </w:pPr>
      <w:bookmarkStart w:id="3" w:name="_Toc368069982"/>
      <w:r w:rsidRPr="002B7E4F">
        <w:rPr>
          <w:rFonts w:ascii="Arial" w:hAnsi="Arial" w:cs="Arial"/>
          <w:b/>
          <w:sz w:val="22"/>
          <w:szCs w:val="22"/>
        </w:rPr>
        <w:t>Medición</w:t>
      </w:r>
      <w:bookmarkEnd w:id="3"/>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 xml:space="preserve">La medición se realizará por </w:t>
      </w:r>
      <w:r w:rsidR="00113B94">
        <w:rPr>
          <w:rFonts w:ascii="Arial" w:hAnsi="Arial" w:cs="Arial"/>
          <w:sz w:val="22"/>
          <w:szCs w:val="22"/>
        </w:rPr>
        <w:t xml:space="preserve">pieza </w:t>
      </w:r>
      <w:r w:rsidRPr="002B7E4F">
        <w:rPr>
          <w:rFonts w:ascii="Arial" w:hAnsi="Arial" w:cs="Arial"/>
          <w:sz w:val="22"/>
          <w:szCs w:val="22"/>
        </w:rPr>
        <w:t>y de acuerdo con las descripciones detalladas y reflejadas en este documento.</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pStyle w:val="TITULO-3"/>
        <w:numPr>
          <w:ilvl w:val="2"/>
          <w:numId w:val="20"/>
        </w:numPr>
        <w:rPr>
          <w:rFonts w:ascii="Arial" w:hAnsi="Arial" w:cs="Arial"/>
          <w:b/>
          <w:sz w:val="22"/>
          <w:szCs w:val="22"/>
        </w:rPr>
      </w:pPr>
      <w:bookmarkStart w:id="4" w:name="_Toc368069983"/>
      <w:r w:rsidRPr="002B7E4F">
        <w:rPr>
          <w:rFonts w:ascii="Arial" w:hAnsi="Arial" w:cs="Arial"/>
          <w:b/>
          <w:sz w:val="22"/>
          <w:szCs w:val="22"/>
        </w:rPr>
        <w:t>Pruebas y Ensayo</w:t>
      </w:r>
      <w:bookmarkEnd w:id="4"/>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Alineación y nivelación de luminarias.</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Funcionamiento de cada una de las luminarias.</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Encendido y apagado con apagadores o de forma automática del alumbrado de acuerdo a los planos del proyecto.</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Niveles de iluminación requeridos en el alumbrado normal y en el de emergencia.</w:t>
      </w:r>
    </w:p>
    <w:p w:rsidR="00735D6C" w:rsidRPr="002B7E4F" w:rsidRDefault="00735D6C" w:rsidP="00735D6C">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del circuito y tablero de alimentación en cada luminaria.</w:t>
      </w:r>
    </w:p>
    <w:p w:rsidR="00735D6C" w:rsidRPr="002B7E4F" w:rsidRDefault="00735D6C" w:rsidP="00735D6C">
      <w:pPr>
        <w:tabs>
          <w:tab w:val="left" w:pos="426"/>
        </w:tabs>
        <w:jc w:val="both"/>
        <w:rPr>
          <w:rFonts w:ascii="Arial" w:hAnsi="Arial" w:cs="Arial"/>
          <w:sz w:val="22"/>
          <w:szCs w:val="22"/>
        </w:rPr>
      </w:pPr>
    </w:p>
    <w:p w:rsidR="00735D6C" w:rsidRPr="002B7E4F" w:rsidRDefault="00735D6C" w:rsidP="00735D6C">
      <w:pPr>
        <w:pStyle w:val="TITULO-3"/>
        <w:numPr>
          <w:ilvl w:val="2"/>
          <w:numId w:val="20"/>
        </w:numPr>
        <w:rPr>
          <w:rFonts w:ascii="Arial" w:hAnsi="Arial" w:cs="Arial"/>
          <w:b/>
          <w:sz w:val="22"/>
          <w:szCs w:val="22"/>
        </w:rPr>
      </w:pPr>
      <w:bookmarkStart w:id="5" w:name="_Toc368069984"/>
      <w:r w:rsidRPr="002B7E4F">
        <w:rPr>
          <w:rFonts w:ascii="Arial" w:hAnsi="Arial" w:cs="Arial"/>
          <w:b/>
          <w:sz w:val="22"/>
          <w:szCs w:val="22"/>
        </w:rPr>
        <w:t>Base de Pago</w:t>
      </w:r>
      <w:bookmarkEnd w:id="5"/>
    </w:p>
    <w:p w:rsidR="00735D6C" w:rsidRPr="002B7E4F" w:rsidRDefault="00735D6C" w:rsidP="00735D6C">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735D6C" w:rsidRPr="002B7E4F"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9">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11">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3">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
  </w:num>
  <w:num w:numId="2">
    <w:abstractNumId w:val="7"/>
  </w:num>
  <w:num w:numId="3">
    <w:abstractNumId w:val="9"/>
  </w:num>
  <w:num w:numId="4">
    <w:abstractNumId w:val="0"/>
  </w:num>
  <w:num w:numId="5">
    <w:abstractNumId w:val="13"/>
  </w:num>
  <w:num w:numId="6">
    <w:abstractNumId w:val="8"/>
  </w:num>
  <w:num w:numId="7">
    <w:abstractNumId w:val="11"/>
  </w:num>
  <w:num w:numId="8">
    <w:abstractNumId w:val="2"/>
  </w:num>
  <w:num w:numId="9">
    <w:abstractNumId w:val="10"/>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2"/>
  </w:num>
  <w:num w:numId="19">
    <w:abstractNumId w:val="3"/>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1515B"/>
    <w:rsid w:val="00022771"/>
    <w:rsid w:val="00070060"/>
    <w:rsid w:val="00072F9F"/>
    <w:rsid w:val="0009480E"/>
    <w:rsid w:val="000A17A2"/>
    <w:rsid w:val="000A727D"/>
    <w:rsid w:val="000D3D68"/>
    <w:rsid w:val="000F19CA"/>
    <w:rsid w:val="000F2F5B"/>
    <w:rsid w:val="0010548E"/>
    <w:rsid w:val="001076F3"/>
    <w:rsid w:val="00111D02"/>
    <w:rsid w:val="00113B94"/>
    <w:rsid w:val="00124A46"/>
    <w:rsid w:val="00133B9C"/>
    <w:rsid w:val="00165BFF"/>
    <w:rsid w:val="00170E1A"/>
    <w:rsid w:val="0017282E"/>
    <w:rsid w:val="00177B5D"/>
    <w:rsid w:val="001862B0"/>
    <w:rsid w:val="001909CD"/>
    <w:rsid w:val="0019260D"/>
    <w:rsid w:val="001934F6"/>
    <w:rsid w:val="001959D6"/>
    <w:rsid w:val="001A0E2A"/>
    <w:rsid w:val="001A6E2A"/>
    <w:rsid w:val="001D047B"/>
    <w:rsid w:val="001E2582"/>
    <w:rsid w:val="001E6CEA"/>
    <w:rsid w:val="00211D31"/>
    <w:rsid w:val="002208BB"/>
    <w:rsid w:val="0023155F"/>
    <w:rsid w:val="002463FF"/>
    <w:rsid w:val="00246AA2"/>
    <w:rsid w:val="00250B8F"/>
    <w:rsid w:val="00252512"/>
    <w:rsid w:val="0025362F"/>
    <w:rsid w:val="00264C51"/>
    <w:rsid w:val="002839A3"/>
    <w:rsid w:val="00285E03"/>
    <w:rsid w:val="002936A4"/>
    <w:rsid w:val="002938C2"/>
    <w:rsid w:val="002A3895"/>
    <w:rsid w:val="002E48BC"/>
    <w:rsid w:val="003167DC"/>
    <w:rsid w:val="00327A8D"/>
    <w:rsid w:val="003343E2"/>
    <w:rsid w:val="00353799"/>
    <w:rsid w:val="00357516"/>
    <w:rsid w:val="003770AF"/>
    <w:rsid w:val="00386B5C"/>
    <w:rsid w:val="003B122D"/>
    <w:rsid w:val="003B1573"/>
    <w:rsid w:val="003C3EB3"/>
    <w:rsid w:val="00415572"/>
    <w:rsid w:val="00471543"/>
    <w:rsid w:val="00485B89"/>
    <w:rsid w:val="004A1638"/>
    <w:rsid w:val="004B31B7"/>
    <w:rsid w:val="004C17BB"/>
    <w:rsid w:val="004C3664"/>
    <w:rsid w:val="004F2FC0"/>
    <w:rsid w:val="0050139A"/>
    <w:rsid w:val="00525C0A"/>
    <w:rsid w:val="00542B5D"/>
    <w:rsid w:val="00545294"/>
    <w:rsid w:val="00567749"/>
    <w:rsid w:val="00571165"/>
    <w:rsid w:val="00576B39"/>
    <w:rsid w:val="00597D16"/>
    <w:rsid w:val="005A3696"/>
    <w:rsid w:val="005B4643"/>
    <w:rsid w:val="005C5ED9"/>
    <w:rsid w:val="005D1CB7"/>
    <w:rsid w:val="005E16A0"/>
    <w:rsid w:val="005F0B16"/>
    <w:rsid w:val="006009E0"/>
    <w:rsid w:val="006039E5"/>
    <w:rsid w:val="00607A3A"/>
    <w:rsid w:val="00613350"/>
    <w:rsid w:val="006154FB"/>
    <w:rsid w:val="006341F8"/>
    <w:rsid w:val="00640513"/>
    <w:rsid w:val="00653345"/>
    <w:rsid w:val="0066069D"/>
    <w:rsid w:val="006A5C9A"/>
    <w:rsid w:val="006C7983"/>
    <w:rsid w:val="006E3D26"/>
    <w:rsid w:val="006E774E"/>
    <w:rsid w:val="007058BC"/>
    <w:rsid w:val="00735D6C"/>
    <w:rsid w:val="00763DE9"/>
    <w:rsid w:val="00794B4E"/>
    <w:rsid w:val="007C397E"/>
    <w:rsid w:val="007C4AA8"/>
    <w:rsid w:val="007C67F8"/>
    <w:rsid w:val="007D11D6"/>
    <w:rsid w:val="007D2168"/>
    <w:rsid w:val="007D6189"/>
    <w:rsid w:val="007F77D7"/>
    <w:rsid w:val="0082164C"/>
    <w:rsid w:val="00823409"/>
    <w:rsid w:val="00843B26"/>
    <w:rsid w:val="00893288"/>
    <w:rsid w:val="008A71CC"/>
    <w:rsid w:val="008B652B"/>
    <w:rsid w:val="008E5994"/>
    <w:rsid w:val="00910C94"/>
    <w:rsid w:val="00915474"/>
    <w:rsid w:val="00943CE2"/>
    <w:rsid w:val="00954E2C"/>
    <w:rsid w:val="00965CE0"/>
    <w:rsid w:val="00973FA7"/>
    <w:rsid w:val="009842DA"/>
    <w:rsid w:val="009A03BF"/>
    <w:rsid w:val="009C213B"/>
    <w:rsid w:val="00A13052"/>
    <w:rsid w:val="00A13D8B"/>
    <w:rsid w:val="00A8013C"/>
    <w:rsid w:val="00A858C9"/>
    <w:rsid w:val="00A87439"/>
    <w:rsid w:val="00AC34C7"/>
    <w:rsid w:val="00AD3350"/>
    <w:rsid w:val="00AD56E1"/>
    <w:rsid w:val="00AE00F8"/>
    <w:rsid w:val="00AF5537"/>
    <w:rsid w:val="00B01626"/>
    <w:rsid w:val="00B462D4"/>
    <w:rsid w:val="00B517B2"/>
    <w:rsid w:val="00B57B0A"/>
    <w:rsid w:val="00B72174"/>
    <w:rsid w:val="00BA0F2C"/>
    <w:rsid w:val="00BA715A"/>
    <w:rsid w:val="00BC31B2"/>
    <w:rsid w:val="00BD05FD"/>
    <w:rsid w:val="00BD0DE1"/>
    <w:rsid w:val="00BF3463"/>
    <w:rsid w:val="00C22239"/>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15BAD"/>
    <w:rsid w:val="00D37E88"/>
    <w:rsid w:val="00D42A0F"/>
    <w:rsid w:val="00D520C4"/>
    <w:rsid w:val="00D75C7B"/>
    <w:rsid w:val="00D92137"/>
    <w:rsid w:val="00DB0930"/>
    <w:rsid w:val="00DB4E2C"/>
    <w:rsid w:val="00DB52AC"/>
    <w:rsid w:val="00DC243D"/>
    <w:rsid w:val="00DE25B7"/>
    <w:rsid w:val="00DE44CB"/>
    <w:rsid w:val="00DE4F01"/>
    <w:rsid w:val="00DF131F"/>
    <w:rsid w:val="00DF1988"/>
    <w:rsid w:val="00DF206F"/>
    <w:rsid w:val="00E00C5F"/>
    <w:rsid w:val="00E117B6"/>
    <w:rsid w:val="00E256D9"/>
    <w:rsid w:val="00E258AA"/>
    <w:rsid w:val="00E51FE7"/>
    <w:rsid w:val="00E56F0A"/>
    <w:rsid w:val="00E957FB"/>
    <w:rsid w:val="00EA1C85"/>
    <w:rsid w:val="00ED2821"/>
    <w:rsid w:val="00EE3CCA"/>
    <w:rsid w:val="00EE55F0"/>
    <w:rsid w:val="00EF5509"/>
    <w:rsid w:val="00F02545"/>
    <w:rsid w:val="00F0469F"/>
    <w:rsid w:val="00F06990"/>
    <w:rsid w:val="00F07E22"/>
    <w:rsid w:val="00F13E84"/>
    <w:rsid w:val="00F13F6F"/>
    <w:rsid w:val="00F47296"/>
    <w:rsid w:val="00F672A1"/>
    <w:rsid w:val="00F67A4A"/>
    <w:rsid w:val="00F83DF3"/>
    <w:rsid w:val="00F8681D"/>
    <w:rsid w:val="00F96A50"/>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 w:type="paragraph" w:customStyle="1" w:styleId="TITULO-3">
    <w:name w:val="TITULO-3"/>
    <w:basedOn w:val="Ttulo3"/>
    <w:next w:val="Normal"/>
    <w:link w:val="TITULO-3Car"/>
    <w:rsid w:val="00735D6C"/>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character" w:customStyle="1" w:styleId="TITULO-3Car">
    <w:name w:val="TITULO-3 Car"/>
    <w:link w:val="TITULO-3"/>
    <w:rsid w:val="00735D6C"/>
    <w:rPr>
      <w:rFonts w:ascii="Times New Roman" w:eastAsia="Times New Roman" w:hAnsi="Times New Roman"/>
      <w:i/>
      <w:spacing w:val="-3"/>
      <w:sz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1249</Words>
  <Characters>6874</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8107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3</cp:revision>
  <dcterms:created xsi:type="dcterms:W3CDTF">2014-04-08T15:41:00Z</dcterms:created>
  <dcterms:modified xsi:type="dcterms:W3CDTF">2014-04-08T15:46:00Z</dcterms:modified>
</cp:coreProperties>
</file>